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МЕТОДИЧЕСКИЕ РЕКОМЕНДАЦИИ МИНОБРНАУКИ ОТ 18.03.2020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ЭКСПЕРТНЫЕ РАЗЪЯСНЕНИЯ ПО ВОПРОСАМ, ВОЗНИКАЮЩИМ В СВЯЗИ С ИСПОЛЬЗОВАНИЕМ ОНЛАЙН-КУРСОВ В ЦЕЛЯХ ПРЕДУПРЕЖДЕНИЯ РАСПРОСТРАНЕНИЯ КОРОНАВИРУСНОЙ ИНФЕКЦИИ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 w:right="0" w:firstLine="589"/>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БЛОК ВОПРОСОВ-ОТВЕТОВ ДЛЯ АДМИНИСТРАЦИИ ОБРАЗОВАТЕЛЬНЫХ ОРГАНИЗАЦИЙ</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Возможна ли реализация образовательной программы или части образовательной программы посредством онлайн-курсов других университетов?</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это возможно.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7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Минобрнауки России от 23.08.2017 № 816, организации вправе осуществлять реализацию образовательных программ или их частей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Кто принимает решение об использовании онлайн-курсов при реализации образовательных программ?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зависимости от положений локальных нормативных актов университетов данное решение может быть принято ректором, деканами факультетов, руководителями иных подразделений, академическими руководителями образовательных программ. Фактически это решение об изменении технологии реализации учебной дисциплины и списка ресурсов, используемых в обучении.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 включать онлайн-курс в учебные планы? Требуется ли согласие преподавателя по данной дисциплине? Требуется ли заключение с ними каких-либо соглашений?</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принятия университетом решения о переходе на дистанционный формат образовательной деятельности преподаватели обязаны принять решение об использовании онлайн-курса для преподавания конкретной дисциплины или о проведении занятий по такой дисциплине с использованием дистанционных технологий. Заключение каких-либо соглашений с преподавателями при изменении формата реализации учебной дисциплины на формат с применением или полным замещением на онлайн-курсы не требуется.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преподаватель готов провести свою дисциплину самостоятельно в дистанционной форме, он следует рабочей программе учебной дисциплины.</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преподаватель используется онлайн-курс, то рабочую программу учебной дисциплины необходимо соотнести с программой онлайн-курса.</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Имеет ли значение то, что изначально возможность освоения программ онлайн не была заявлена обучающимся?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ч. 2 ст. 13 Федерального закона «Об образовании в Российской Федерации»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Большинством образовательных программ высшего образования предусматривается использование дистанционных образовательных технологий при реализации образовательной деятельности. В соответствии с законодательством форма обучения при использовании дистанционных технологий не изменяется, остается очной.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в сложившейся эпидемиологической ситуации дистанционных образовательных технологий и онлайн-курсов неизбежно и осуществляется в целях повышения уровня эпидемиологической безопасности, в интересах сохранения здоровья студентов и преподавателей.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 какой период предоставляется возможность использовать онлайн-курсы?</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неопределенный срок – «до особого распоряжения» Министерства науки и высшего образования Российской Федерации. В настоящее время с точностью можно сказать – как минимум до конца семестра.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Какие локальные нормативные акты должны быть в организации?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Должны быть принят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онлайн-курсов и дистанционных образовательных технологий (Learning Management System, электронная почта, мессенджеры, системы вебинаров, чаты, подкасты и др.) в образовательном процессе.</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этого, университетом должен быть утвержден перечень доступных онлайн-курсов на базе перечня онлайн-курсов, подготовленного Министерством науки и высшего образования Российской Федерации. Университетам рекомендуется размещать на сайте информацию о сроках реализации таких онлайн-курсов и датами завершения записи студентов на онлайн-курсы.</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Университет реализует образовательные программы по ФГОС. Можно ли предлагать студентам онлайн-курсы университетов, самостоятельно утвердивших образовательные стандарты. Нет ли здесь противоречия?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законодательством ФГОС устанавливаются минимальные требований к качеству образования. В соответствии с ч. 10 ст. 11 Федерального закона «Об образовании в Российской Федерации» ряд университетов – МГУ им. М.В.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Ломоносова, СПбГУ, федеральные университеты, национальные исследовательские университеты, а также университеты,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ФГОС. Исходя из этого следует, что онлайн-курсы, подготовленные такими университетами, соответствуют ФГОС или выше требований ФГОС, а следовательно, могут быть использованы университетами.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делать, если по учебной дисциплине нет подходящего онлайн-курса?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случае необходимо использовать альтернативные модели дистанционного обучения: лекции в форме вебинаров или предоставления доступа к ранее записанным преподавателями лекциям; проведение семинарских занятий в форме дистанционного выполнения заданий преподавателя во время семинаров в соответствии с действующим в университете расписанием. Для коммуникации во время семинаров могут быть использованы любые доступные технологии, удобные преподавателю и обучающимся, в том числе чаты в мессенджерах.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делать, если курс не может быть освоен онлайн (например, нужны практические компетенции – медицина, инженерное дело)?</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студентов, которые не завершают в текущем году освоение образовательной программы, необходимо перенести такие дисциплины на следующий учебный год, а для студентов выпускных курсов – организовать освоение практических дисциплин в малых группах в разные смены с соблюдением мер безопасности в соответствии с рекомендациями Роспотребнадзора.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делать, если наименования учебной дисциплины и онлайн-курса отличаются?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онлайн-курсов для принятия об использовании онлайн-курса для преподавания конкретной дисциплины не является определяющим. Решение об использовании онлайн-курса принимается на основе сопоставления рабочих программ учебных дисциплин и программ онлайн-курсов, сравнения их содержания и трудоемкости, так и на основе анализа результатов обучения или компетенций, которые получают обучающиеся.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 проводить аттестацию студентов? Будет ли возможность перенести сроки сессии?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Преподаватели проводят промежуточную аттестацию в форме, установленной рабочей программой учебной дисциплины, с учетом содержания онлайн-курса, освоенного студентами. Промежуточная аттестация проводится в порядке, предусмотренном ст. 58 Федерального закона «Об образовании в Российской Федерации» и локальным нормативным актом университета.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сроки сессии можно перенести, однако необходимо соблюсти право студентов на каникулы, с учетом общей продолжительности каникул не более 10 недель в соответствии с пунктом 24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 карантине студентов, переход в дистанционную форму предполагает полный перенос контактных занятий в электронную среду или, возможно применить смешанные виды обучения, например, частичное самостоятельное изучение теоретического материала? И какая практика есть по проведению контактных занятий в электронно-образовательной среде (вебинары, консультации в виде форумов или чатов и т.д.)?</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переноса дисциплины в дистанционную форму преподаватели обязаны соблюдать учебный план (число контактной и самостоятельной работы студента). При желании преподавателя применить смешанные виды обучения, например, частичное самостоятельное изучение теоретического материала, необходимо внести изменения в учебный план, если такие виды обучения им не предусмотрены.</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Инструменты, исплпользуемые для организации контактных занятий при дистанционном обучении, должны соответствовать потребностям и возможностям преподавателей и обучающихся: от обмена сообщениями по электронной почте и мессенджерах до использования систем онлайн-конференций на семинарских занятиях и электронной образовательной среды университета (Learning Management System).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276"/>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делать, если запись на онлайн-курс закрыта, т.к. он начался раньше?</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данной ситуации необходимо выбрать другой онлайн-курс или организовать реализацию дисциплины преподавателем самостоятельно в дистанционной форме.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 юридически корректно оформить использование онлайн-курсов других университетов? Нужно ли заключать сетевой или другой договор с вузом-провайдером?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Существует несколько моделей оформления использования онлайн-курса другого университета. Одна из возможных моделей в текущих условиях следующая.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Описание модели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Существует перечень онлайн-курсов, открытых (бесплатных) для изучения.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Заинтересованная образовательная организация выбирает из перечня открытых (бесплатных) онлайн-курсов те, которые рекомендует прослушать своим студентам без прохождения аттестации и получения сертификата.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Заинтересованная образовательная организация направляет организации, на сайте которой размещен курс (далее – оператор платформы), информационное письмо о том, каким студентам и какие онлайн-курсы рекомендованы для прослушивания.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Оператор платформы обеспечивает доступ к онлайн-курсу студентам согласно списку.</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получает доступ к онлайн-курсу как физическое лицо, договорных отношений между заинтересованной организацией и организацией-разработчиком онлайн-курса или оператором платформы не возникает.</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Преподаватель-работник заинтересованной образовательной организации, чей курс реализуется с использованием онлайн-курса другой организации:</w:t>
      </w:r>
    </w:p>
    <w:p w:rsidR="00000000" w:rsidDel="00000000" w:rsidP="00000000" w:rsidRDefault="00000000" w:rsidRPr="00000000" w14:paraId="000000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 текущий контроль и промежуточную аттестацию;</w:t>
      </w:r>
    </w:p>
    <w:p w:rsidR="00000000" w:rsidDel="00000000" w:rsidP="00000000" w:rsidRDefault="00000000" w:rsidRPr="00000000" w14:paraId="000000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организационную, учебно-методическую поддержку студента;</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выполняет другие виды деятельности по усмотрению своей образовательной организации.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модель основана на заявленной готовности ведущих университетов в сложившихся обстоятельствах открыть бесплатный доступ к своим онлайн-курсам и наиболее удобна, поскольку не предусматривает финансовых взаимоотношений между образовательными организациями, не требует заключения сетевого договора, соблюдения закупочного законодательства. Во время прослушивания студентом онлайн-курса заинтересованная образовательная организация продолжает оставаться исполнителем образовательных услуг по отношению к студенту, так как сам по себе открытый онлайн-курс предоставляет студенту возможность получить информацию по предмету, но его просмотр не является образовательной услугой. Образовательную услуги студенту оказывает именно заинтересованная образовательная организация.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Возникают ли налоговые последствия для образовательной организации при учете изученных студентами онлайн-курсов других университетов?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применении рекомендованной модели использования онлайн-курсов налоговые последствия для заинтересованной образовательной организации не возникают, так как дополнительных хозяйственных отношений между образовательными организациями не возникает.</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Бесплатное изучение студентами материалов онлайн-курса можно сравнить с чтением книги, просмотром обучающего видео-ролика на Youtube и другими способами получения информации по интересующему предмету. Студенты не ограничены в возможности получать знания по предмету за пределами учебных аудиторий – для этого не обязательно заключение какого-либо договора с образовательной организацией-разработчиком курса. Со стороны студентов может потребоваться заключение пользовательского соглашения с онлайн-платформой.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Если студент учится на основании договора об оказании платных образовательных услуг, вправе ли образовательная организация предлагать ему онлайн-курсы других университетов, ведь оплачивает обучение он в своем университете?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вправе. Отношения по образовательной программе у студента возникают с образовательной организацией, которая, которая является исполнителем образовательных услуг по отношению к студенту, независимо от прослушивания студентом онлайн-курса другой образовательной организации.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рекомендуется соблюдать два условия (одновременно):</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где учится студент, обеспечивает организационную, учебно-методическую поддержку студента на протяжении прослушивания онлайн-курса;</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firstLine="425.00000000000006"/>
        <w:jc w:val="both"/>
        <w:rPr>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где учится студент, проводит текущий контроль знаний и промежуточную аттестацию студента по дисциплине, соответствующей по содержанию онлайн-курсу.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что образовательная организация указывает своему студенту, материалы какого онлайн-курса другой образовательной организации можно прослушать в рамках конкретной учебной программы, не изменяет того, что обучение как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и т.д. осуществляет именно та организация, в которой учится студент.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Если студент окажется недовольным качеством предложенного ему онлайн-курса другого университета, несет ли ответственность за это образовательная организация, где обучается студент?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где обучается студент, несет ответственность перед ним за качество образования независимо от того, используется ли при реализации образовательной программы онлайн-курс другой образовательной организации или нет. Для обеспечения качества образовательной услуги организация, где обучается студент, осуществляет организационную, учебно-методическую и иную поддержку студента на протяжении прослушивания онлайн-курса, а также проводит контроль знаний и промежуточную аттестацию. Если со стороны студента поступает жалоба на качество онлайн-курса, его образовательная организация обязана обеспечить студенту восполнение недостатков (в рамках сопровождения и поддержки освоения).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Нужно ли заключать дополнительные соглашения к договорам об образовании в связи с переходом на дистанционное обучение. Нужно ли менять объем услуги?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электронного обучения и/или дистанционных технологий при реализации образовательной программы само по себе не влечет за собой изменение формы обучения. Объем услуги в части высшего образования также не меняется (объем образовательной программы измеряется в зачетных единицах, их количество не изменятся; зачетная единица включает и часы контактной работы и самостоятельной работы студента). Поэтому изменений в договор вносить не нужно. При этом образовательная организация обязана обеспечить качественное оказание образовательной услуги в полном объеме.</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программ дополнительного профессионального образования возможно сокращение объема образовательной услуги из-за ограничений применения дистанционных технологий/ электронного обучения. В случае сокращения объема услуги (количества часов) необходимо заключать дополнительные соглашения к договорам об образовании. В случае сокращения объема услуги должна быть уменьшена стоимость услуги.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07" w:right="0" w:firstLine="2.0000000000000284"/>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Требуются ли для применения онлайн-курсов изменения в государственное задание университета?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Нет, не требуются. Государственное задание выдается на оказание услуг по реализации образовательных программ высшего и среднего профессионального образования. Применение образовательной организацией различных технологий в ходе реализации образовательной программы, в том числе задействование онлайн-курсов других организаций, является правом образовательной организации в рамках реализации образовательных стандартов и не влечет за собой сокращение объема выполнения государственного задания.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 w:right="0" w:firstLine="589"/>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БЛОК ВОПРОСОВ ДЛЯ СТУДЕНТОВ </w:t>
      </w:r>
    </w:p>
    <w:p w:rsidR="00000000" w:rsidDel="00000000" w:rsidP="00000000" w:rsidRDefault="00000000" w:rsidRPr="00000000" w14:paraId="000000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Может ли студент выбрать понравившийся ему онлайн-курс самостоятельно?</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Предлагается модель, при которой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онлайн-курсы для реализации образовательных программ выбирает образовательная организация и доводит до сведения студентов в установленном ею порядке.</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Во-первых, это упорядочит выбор курсов студентами.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Во-вторых, это необходимо во исполнение пункта 4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Минобрнауки России от 23.08.2017 № 816, в целях обеспечения правильности выбора курсов студентами.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Какие документы нужно предоставить студенту онлайн-платформе для обучения на онлайн-курсах?</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документов от студентов не требуется.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Каким образом будет подтверждаться личность студента при обучении по онлайн-курсам?</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Технологии идентификации личности используются только в тех случаях, когда слушатель онлайн-курса проходит онлайн аттестацию и получает сертификат.</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Прослушивание онлайн-курсов в текущих условиях будет проходить без промежуточной аттестации и, соответственно, не требует идентификации студента.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 студента нет компьютера, чтобы использовать дистанционные технологии. Что делать?</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большинство онлайн-курсов можно пройти не только с помощью компьютера, но и с помощью мобильных устройств с доступом в сеть «Интернет».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организация должна самостоятельно решить вопрос об обеспечении студентов техническими средствами.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Влечет ли применение дистанционных технологий какое-то изменение прав и обязанностей студента?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Нет, не влечет. Все права и обязанности студента сохраняются в полном объеме.</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 w:right="0" w:firstLine="589"/>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БЛОК ВОПРОСОВ ДЛЯ ПРЕПОДАВАТЕЛЕЙ</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будет с учебной нагрузкой педагогических работников, чьи курсы будут реализовываться с использованием онлайн-курсов других образовательных организаций?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учебный курс будет реализовываться с использованием онлайн-курсов других образовательных организаций, объем аудиторной работы преподавателя уменьшится, при этом вынужденно возрастут иные формы его нагрузки – методическая и организационная работа, проведение онлайн-семинаров и консультаций, научная работа и т.п.</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Высвободившееся рабочее время преподавателя может быть перераспределено на другие виды педагогической работы (методическая, научная, организационная и проч.).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Законодательство (приказ Минобрнауки России от 22.12.2014 № 1601) устанавливает верхний предел учебной нагрузки педагогического работника. Нижний предел учебной нагрузки устанавливается локальными нормативными актами образовательной организации. Конкретный объем учебной нагрузки педагогического работника фиксируется в трудовом договоре.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снижения учебной нагрузки ниже предела, установленного локальными нормативными актами и трудовым договором, возможна. Для этого реализации этого потребуется внести изменения в локальный нормативный акт, регулирующиий вопросы установления нагрузки, трудовой договор с работником (по соглашению сторон) и индивидуальный план педагогического работника.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5" w:right="0" w:firstLine="284.00000000000006"/>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Можно ли всех студентов перевести на онлайн-курсы, а преподавателей отправить в отпуск?</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Студентов можно перевести на обучение по онлайн-курсам в той численности, которую образовательная организация определит для себя как необходимую, либо если такая необходимость вытекает из нормативных актов, принимаемых в рамках мер по борьбе с вирусом. Решение о предоставлении отпуска преподавателям, а также иные кадровые решения образовательная организация принимает самостоятельно, в том числе, исходя из сохранения ее обязательств по исполнению государственного задания и заключенных договоров на оказание образовательных услуг.</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firstLine="142.00000000000003"/>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Что будет с заработной платой преподавателя, чьи курсы будут реализовываться с использованием онлайн-курсов других образовательных организаций?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 по себе решение о применении онлайн-курсов не влечет изменений в заработной плате педагогического работника. Ее размер определяется содержанием его трудового договора и общим объемом учебной нагрузки. В случае перераспределения учебной нагрузки на другие виды педагогической работы без изменений общей продолжительности рабочего времени (в том числе при переходе на дистанционную работу) заработная плата педагогического работника не изменяется.</w:t>
      </w:r>
      <w:r w:rsidDel="00000000" w:rsidR="00000000" w:rsidRPr="00000000">
        <w:rPr>
          <w:rtl w:val="0"/>
        </w:rPr>
      </w:r>
    </w:p>
    <w:sectPr>
      <w:headerReference r:id="rId6" w:type="default"/>
      <w:footerReference r:id="rId7" w:type="default"/>
      <w:pgSz w:h="16840" w:w="1190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Noto Sans Symbols"/>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567" w:firstLine="142"/>
      </w:pPr>
      <w:rPr>
        <w:b w:val="1"/>
        <w:i w:val="1"/>
        <w:smallCaps w:val="0"/>
        <w:strike w:val="0"/>
        <w:shd w:fill="auto" w:val="clear"/>
        <w:vertAlign w:val="baseline"/>
      </w:rPr>
    </w:lvl>
    <w:lvl w:ilvl="2">
      <w:start w:val="1"/>
      <w:numFmt w:val="decimal"/>
      <w:lvlText w:val="%1.%2.%3."/>
      <w:lvlJc w:val="left"/>
      <w:pPr>
        <w:ind w:left="709" w:firstLine="49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2">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707" w:firstLine="2"/>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3">
    <w:lvl w:ilvl="0">
      <w:start w:val="2"/>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4">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5">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567" w:firstLine="142"/>
      </w:pPr>
      <w:rPr>
        <w:b w:val="1"/>
        <w:i w:val="1"/>
        <w:smallCaps w:val="0"/>
        <w:strike w:val="0"/>
        <w:shd w:fill="auto" w:val="clear"/>
        <w:vertAlign w:val="baseline"/>
      </w:rPr>
    </w:lvl>
    <w:lvl w:ilvl="2">
      <w:start w:val="1"/>
      <w:numFmt w:val="decimal"/>
      <w:lvlText w:val="%1.%2.%3."/>
      <w:lvlJc w:val="left"/>
      <w:pPr>
        <w:ind w:left="709" w:firstLine="49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6">
    <w:lvl w:ilvl="0">
      <w:start w:val="1"/>
      <w:numFmt w:val="decimal"/>
      <w:lvlText w:val="%1."/>
      <w:lvlJc w:val="left"/>
      <w:pPr>
        <w:ind w:left="120" w:firstLine="589"/>
      </w:pPr>
      <w:rPr>
        <w:b w:val="1"/>
        <w:smallCaps w:val="0"/>
        <w:strike w:val="0"/>
        <w:shd w:fill="auto" w:val="clear"/>
        <w:vertAlign w:val="baseline"/>
      </w:rPr>
    </w:lvl>
    <w:lvl w:ilvl="1">
      <w:start w:val="15"/>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7">
    <w:lvl w:ilvl="0">
      <w:start w:val="1"/>
      <w:numFmt w:val="decimal"/>
      <w:lvlText w:val="%1."/>
      <w:lvlJc w:val="left"/>
      <w:pPr>
        <w:ind w:left="120" w:firstLine="589"/>
      </w:pPr>
      <w:rPr>
        <w:b w:val="1"/>
        <w:smallCaps w:val="0"/>
        <w:strike w:val="0"/>
        <w:shd w:fill="auto" w:val="clear"/>
        <w:vertAlign w:val="baseline"/>
      </w:rPr>
    </w:lvl>
    <w:lvl w:ilvl="1">
      <w:start w:val="17"/>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35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8">
    <w:lvl w:ilvl="0">
      <w:start w:val="1"/>
      <w:numFmt w:val="decimal"/>
      <w:lvlText w:val="%1."/>
      <w:lvlJc w:val="left"/>
      <w:pPr>
        <w:ind w:left="120" w:firstLine="589"/>
      </w:pPr>
      <w:rPr>
        <w:b w:val="1"/>
        <w:smallCaps w:val="0"/>
        <w:strike w:val="0"/>
        <w:shd w:fill="auto" w:val="clear"/>
        <w:vertAlign w:val="baseline"/>
      </w:rPr>
    </w:lvl>
    <w:lvl w:ilvl="1">
      <w:start w:val="1"/>
      <w:numFmt w:val="decimal"/>
      <w:lvlText w:val="%1.%2."/>
      <w:lvlJc w:val="left"/>
      <w:pPr>
        <w:ind w:left="425" w:firstLine="284"/>
      </w:pPr>
      <w:rPr>
        <w:b w:val="1"/>
        <w:i w:val="1"/>
        <w:smallCaps w:val="0"/>
        <w:strike w:val="0"/>
        <w:shd w:fill="auto" w:val="clear"/>
        <w:vertAlign w:val="baseline"/>
      </w:rPr>
    </w:lvl>
    <w:lvl w:ilvl="2">
      <w:start w:val="1"/>
      <w:numFmt w:val="decimal"/>
      <w:lvlText w:val="%1.%2.%3."/>
      <w:lvlJc w:val="left"/>
      <w:pPr>
        <w:ind w:left="709" w:firstLine="491"/>
      </w:pPr>
      <w:rPr>
        <w:b w:val="1"/>
        <w:i w:val="1"/>
        <w:smallCaps w:val="0"/>
        <w:strike w:val="0"/>
        <w:shd w:fill="auto" w:val="clear"/>
        <w:vertAlign w:val="baseline"/>
      </w:rPr>
    </w:lvl>
    <w:lvl w:ilvl="3">
      <w:start w:val="1"/>
      <w:numFmt w:val="decimal"/>
      <w:lvlText w:val="%1.%2.%3.%4."/>
      <w:lvlJc w:val="left"/>
      <w:pPr>
        <w:ind w:left="1058" w:hanging="8"/>
      </w:pPr>
      <w:rPr>
        <w:b w:val="1"/>
        <w:i w:val="1"/>
        <w:smallCaps w:val="0"/>
        <w:strike w:val="0"/>
        <w:shd w:fill="auto" w:val="clear"/>
        <w:vertAlign w:val="baseline"/>
      </w:rPr>
    </w:lvl>
    <w:lvl w:ilvl="4">
      <w:start w:val="1"/>
      <w:numFmt w:val="decimal"/>
      <w:lvlText w:val="%1.%2.%3.%4.%5."/>
      <w:lvlJc w:val="left"/>
      <w:pPr>
        <w:ind w:left="1767" w:firstLine="341"/>
      </w:pPr>
      <w:rPr>
        <w:b w:val="1"/>
        <w:i w:val="1"/>
        <w:smallCaps w:val="0"/>
        <w:strike w:val="0"/>
        <w:shd w:fill="auto" w:val="clear"/>
        <w:vertAlign w:val="baseline"/>
      </w:rPr>
    </w:lvl>
    <w:lvl w:ilvl="5">
      <w:start w:val="1"/>
      <w:numFmt w:val="decimal"/>
      <w:lvlText w:val="%1.%2.%3.%4.%5.%6."/>
      <w:lvlJc w:val="left"/>
      <w:pPr>
        <w:ind w:left="2116" w:hanging="18"/>
      </w:pPr>
      <w:rPr>
        <w:b w:val="1"/>
        <w:i w:val="1"/>
        <w:smallCaps w:val="0"/>
        <w:strike w:val="0"/>
        <w:shd w:fill="auto" w:val="clear"/>
        <w:vertAlign w:val="baseline"/>
      </w:rPr>
    </w:lvl>
    <w:lvl w:ilvl="6">
      <w:start w:val="1"/>
      <w:numFmt w:val="decimal"/>
      <w:lvlText w:val="%1.%2.%3.%4.%5.%6.%7."/>
      <w:lvlJc w:val="left"/>
      <w:pPr>
        <w:ind w:left="2825" w:firstLine="338"/>
      </w:pPr>
      <w:rPr>
        <w:b w:val="1"/>
        <w:i w:val="1"/>
        <w:smallCaps w:val="0"/>
        <w:strike w:val="0"/>
        <w:shd w:fill="auto" w:val="clear"/>
        <w:vertAlign w:val="baseline"/>
      </w:rPr>
    </w:lvl>
    <w:lvl w:ilvl="7">
      <w:start w:val="1"/>
      <w:numFmt w:val="decimal"/>
      <w:lvlText w:val="%1.%2.%3.%4.%5.%6.%7.%8."/>
      <w:lvlJc w:val="left"/>
      <w:pPr>
        <w:ind w:left="3174" w:firstLine="338"/>
      </w:pPr>
      <w:rPr>
        <w:b w:val="1"/>
        <w:i w:val="1"/>
        <w:smallCaps w:val="0"/>
        <w:strike w:val="0"/>
        <w:shd w:fill="auto" w:val="clear"/>
        <w:vertAlign w:val="baseline"/>
      </w:rPr>
    </w:lvl>
    <w:lvl w:ilvl="8">
      <w:start w:val="1"/>
      <w:numFmt w:val="decimal"/>
      <w:lvlText w:val="%1.%2.%3.%4.%5.%6.%7.%8.%9."/>
      <w:lvlJc w:val="left"/>
      <w:pPr>
        <w:ind w:left="3883" w:hanging="22"/>
      </w:pPr>
      <w:rPr>
        <w:b w:val="1"/>
        <w:i w:val="1"/>
        <w:smallCaps w:val="0"/>
        <w:strike w:val="0"/>
        <w:shd w:fill="auto" w:val="clear"/>
        <w:vertAlign w:val="baseline"/>
      </w:rPr>
    </w:lvl>
  </w:abstractNum>
  <w:abstractNum w:abstractNumId="9">
    <w:lvl w:ilvl="0">
      <w:start w:val="1"/>
      <w:numFmt w:val="bullet"/>
      <w:lvlText w:val="−"/>
      <w:lvlJc w:val="left"/>
      <w:pPr>
        <w:ind w:left="284" w:firstLine="425"/>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720" w:firstLine="14"/>
      </w:pPr>
      <w:rPr>
        <w:rFonts w:ascii="Arimo" w:cs="Arimo" w:eastAsia="Arimo" w:hAnsi="Arimo"/>
        <w:b w:val="0"/>
        <w:i w:val="0"/>
        <w:smallCaps w:val="0"/>
        <w:strike w:val="0"/>
        <w:shd w:fill="auto" w:val="clear"/>
        <w:vertAlign w:val="baseline"/>
      </w:rPr>
    </w:lvl>
    <w:lvl w:ilvl="2">
      <w:start w:val="1"/>
      <w:numFmt w:val="bullet"/>
      <w:lvlText w:val="▪"/>
      <w:lvlJc w:val="left"/>
      <w:pPr>
        <w:ind w:left="1440" w:firstLine="26"/>
      </w:pPr>
      <w:rPr>
        <w:rFonts w:ascii="Arimo" w:cs="Arimo" w:eastAsia="Arimo" w:hAnsi="Arimo"/>
        <w:b w:val="0"/>
        <w:i w:val="0"/>
        <w:smallCaps w:val="0"/>
        <w:strike w:val="0"/>
        <w:shd w:fill="auto" w:val="clear"/>
        <w:vertAlign w:val="baseline"/>
      </w:rPr>
    </w:lvl>
    <w:lvl w:ilvl="3">
      <w:start w:val="1"/>
      <w:numFmt w:val="bullet"/>
      <w:lvlText w:val="●"/>
      <w:lvlJc w:val="left"/>
      <w:pPr>
        <w:ind w:left="2160" w:firstLine="38"/>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2880" w:firstLine="50"/>
      </w:pPr>
      <w:rPr>
        <w:rFonts w:ascii="Arimo" w:cs="Arimo" w:eastAsia="Arimo" w:hAnsi="Arimo"/>
        <w:b w:val="0"/>
        <w:i w:val="0"/>
        <w:smallCaps w:val="0"/>
        <w:strike w:val="0"/>
        <w:shd w:fill="auto" w:val="clear"/>
        <w:vertAlign w:val="baseline"/>
      </w:rPr>
    </w:lvl>
    <w:lvl w:ilvl="5">
      <w:start w:val="1"/>
      <w:numFmt w:val="bullet"/>
      <w:lvlText w:val="▪"/>
      <w:lvlJc w:val="left"/>
      <w:pPr>
        <w:ind w:left="3600" w:firstLine="62"/>
      </w:pPr>
      <w:rPr>
        <w:rFonts w:ascii="Arimo" w:cs="Arimo" w:eastAsia="Arimo" w:hAnsi="Arimo"/>
        <w:b w:val="0"/>
        <w:i w:val="0"/>
        <w:smallCaps w:val="0"/>
        <w:strike w:val="0"/>
        <w:shd w:fill="auto" w:val="clear"/>
        <w:vertAlign w:val="baseline"/>
      </w:rPr>
    </w:lvl>
    <w:lvl w:ilvl="6">
      <w:start w:val="1"/>
      <w:numFmt w:val="bullet"/>
      <w:lvlText w:val="●"/>
      <w:lvlJc w:val="left"/>
      <w:pPr>
        <w:ind w:left="4320" w:firstLine="7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040" w:firstLine="86"/>
      </w:pPr>
      <w:rPr>
        <w:rFonts w:ascii="Arimo" w:cs="Arimo" w:eastAsia="Arimo" w:hAnsi="Arimo"/>
        <w:b w:val="0"/>
        <w:i w:val="0"/>
        <w:smallCaps w:val="0"/>
        <w:strike w:val="0"/>
        <w:shd w:fill="auto" w:val="clear"/>
        <w:vertAlign w:val="baseline"/>
      </w:rPr>
    </w:lvl>
    <w:lvl w:ilvl="8">
      <w:start w:val="1"/>
      <w:numFmt w:val="bullet"/>
      <w:lvlText w:val="▪"/>
      <w:lvlJc w:val="left"/>
      <w:pPr>
        <w:ind w:left="5760" w:firstLine="98"/>
      </w:pPr>
      <w:rPr>
        <w:rFonts w:ascii="Arimo" w:cs="Arimo" w:eastAsia="Arimo" w:hAnsi="Arimo"/>
        <w:b w:val="0"/>
        <w:i w:val="0"/>
        <w:smallCaps w:val="0"/>
        <w:strike w:val="0"/>
        <w:shd w:fill="auto" w:val="clear"/>
        <w:vertAlign w:val="baseline"/>
      </w:rPr>
    </w:lvl>
  </w:abstractNum>
  <w:abstractNum w:abstractNumId="10">
    <w:lvl w:ilvl="0">
      <w:start w:val="1"/>
      <w:numFmt w:val="bullet"/>
      <w:lvlText w:val="−"/>
      <w:lvlJc w:val="left"/>
      <w:pPr>
        <w:ind w:left="284" w:firstLine="425"/>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720" w:firstLine="14"/>
      </w:pPr>
      <w:rPr>
        <w:rFonts w:ascii="Arimo" w:cs="Arimo" w:eastAsia="Arimo" w:hAnsi="Arimo"/>
        <w:b w:val="0"/>
        <w:i w:val="0"/>
        <w:smallCaps w:val="0"/>
        <w:strike w:val="0"/>
        <w:shd w:fill="auto" w:val="clear"/>
        <w:vertAlign w:val="baseline"/>
      </w:rPr>
    </w:lvl>
    <w:lvl w:ilvl="2">
      <w:start w:val="1"/>
      <w:numFmt w:val="bullet"/>
      <w:lvlText w:val="▪"/>
      <w:lvlJc w:val="left"/>
      <w:pPr>
        <w:ind w:left="1440" w:firstLine="26"/>
      </w:pPr>
      <w:rPr>
        <w:rFonts w:ascii="Arimo" w:cs="Arimo" w:eastAsia="Arimo" w:hAnsi="Arimo"/>
        <w:b w:val="0"/>
        <w:i w:val="0"/>
        <w:smallCaps w:val="0"/>
        <w:strike w:val="0"/>
        <w:shd w:fill="auto" w:val="clear"/>
        <w:vertAlign w:val="baseline"/>
      </w:rPr>
    </w:lvl>
    <w:lvl w:ilvl="3">
      <w:start w:val="1"/>
      <w:numFmt w:val="bullet"/>
      <w:lvlText w:val="●"/>
      <w:lvlJc w:val="left"/>
      <w:pPr>
        <w:ind w:left="2160" w:firstLine="38"/>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2880" w:firstLine="50"/>
      </w:pPr>
      <w:rPr>
        <w:rFonts w:ascii="Arimo" w:cs="Arimo" w:eastAsia="Arimo" w:hAnsi="Arimo"/>
        <w:b w:val="0"/>
        <w:i w:val="0"/>
        <w:smallCaps w:val="0"/>
        <w:strike w:val="0"/>
        <w:shd w:fill="auto" w:val="clear"/>
        <w:vertAlign w:val="baseline"/>
      </w:rPr>
    </w:lvl>
    <w:lvl w:ilvl="5">
      <w:start w:val="1"/>
      <w:numFmt w:val="bullet"/>
      <w:lvlText w:val="▪"/>
      <w:lvlJc w:val="left"/>
      <w:pPr>
        <w:ind w:left="3600" w:firstLine="62"/>
      </w:pPr>
      <w:rPr>
        <w:rFonts w:ascii="Arimo" w:cs="Arimo" w:eastAsia="Arimo" w:hAnsi="Arimo"/>
        <w:b w:val="0"/>
        <w:i w:val="0"/>
        <w:smallCaps w:val="0"/>
        <w:strike w:val="0"/>
        <w:shd w:fill="auto" w:val="clear"/>
        <w:vertAlign w:val="baseline"/>
      </w:rPr>
    </w:lvl>
    <w:lvl w:ilvl="6">
      <w:start w:val="1"/>
      <w:numFmt w:val="bullet"/>
      <w:lvlText w:val="●"/>
      <w:lvlJc w:val="left"/>
      <w:pPr>
        <w:ind w:left="4320" w:firstLine="7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040" w:firstLine="86"/>
      </w:pPr>
      <w:rPr>
        <w:rFonts w:ascii="Arimo" w:cs="Arimo" w:eastAsia="Arimo" w:hAnsi="Arimo"/>
        <w:b w:val="0"/>
        <w:i w:val="0"/>
        <w:smallCaps w:val="0"/>
        <w:strike w:val="0"/>
        <w:shd w:fill="auto" w:val="clear"/>
        <w:vertAlign w:val="baseline"/>
      </w:rPr>
    </w:lvl>
    <w:lvl w:ilvl="8">
      <w:start w:val="1"/>
      <w:numFmt w:val="bullet"/>
      <w:lvlText w:val="▪"/>
      <w:lvlJc w:val="left"/>
      <w:pPr>
        <w:ind w:left="5760" w:firstLine="98"/>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